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45273B2F" w:rsidR="008976C9" w:rsidRPr="00F94AB8" w:rsidRDefault="34F234A3" w:rsidP="34F234A3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Repa Aranka, mint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Tréner;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Repa Aranka egyéni vállalkozó, székhely: 6600 Szentes, Veres Péter utca 9/2., adószám: </w:t>
      </w:r>
      <w:r w:rsidRPr="34F234A3">
        <w:rPr>
          <w:rFonts w:ascii="Avenir Next" w:eastAsia="Avenir Next" w:hAnsi="Avenir Next" w:cs="Avenir Next"/>
          <w:sz w:val="20"/>
          <w:szCs w:val="20"/>
        </w:rPr>
        <w:t>66518518-1-26, nyilvántartási szám: 35607485, e-mail: repa.aranka@gmail.com</w:t>
      </w:r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Kriston-módszerhez kapcsolódó foglalkozásokat (tanfolyam, </w:t>
      </w:r>
      <w:proofErr w:type="gram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 tart (a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: Tanfolyamok) a jelentkező érdeklődők számára.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0521C532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utalásos fizetési módnál a kapott díjbekérő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alapján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fizeti meg</w:t>
      </w:r>
      <w:r w:rsidR="00631E16" w:rsidRP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Tréner számára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4.</w:t>
      </w:r>
      <w:r w:rsidR="006D5F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4</w:t>
      </w: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 A</w:t>
      </w:r>
      <w:r w:rsidR="00562BBF"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Tanfolyam </w:t>
      </w:r>
      <w:proofErr w:type="spellStart"/>
      <w:r w:rsidR="00562BBF"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díjáról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kiállított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számlát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Tanfolyamot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tarto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́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Tréner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e-mailen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küldi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el a jelentkezéskor megadott </w:t>
      </w:r>
      <w:proofErr w:type="spellStart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címre</w:t>
      </w:r>
      <w:proofErr w:type="spellEnd"/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65FCAE83" w:rsidR="008976C9" w:rsidRPr="00F94AB8" w:rsidRDefault="34F234A3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4.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Vásárlo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́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tudomásul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veszi, hogy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Trénernek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Tanfolyam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megszervezésével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kapcsolatban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költségei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merülnek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fel – pl.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terembérleti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díj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– amelynek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összege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függhet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jelentkezők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számától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. Amennyiben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Vásárlo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́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elállási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vagy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felmondási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jogát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Tanfolyam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kezdo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̋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időpontja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előtt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kevesebb, mint 7 nappal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közli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Trénerrel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, akkor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Tréner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jogosult 10.000 Ft-ot, azaz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tízezer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forintot, kevesebb, mint 5 napon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belül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,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úgy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15.000 Ft-ot, azaz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tizenötezer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forintot, 48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órán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belül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pedig a teljes tanfolyami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díjat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visszatartani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már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kifizetett tanfolyami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díjból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vagy ennek az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összegnek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megfizetését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követelni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Vásárlótól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a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felmerült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kiadásai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fedezetéül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 A különbözetet Tréner 14 napon belül köteles visszafizetni.</w:t>
      </w:r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3B0F1F12" w:rsidR="00E00647" w:rsidRPr="00581B40" w:rsidRDefault="34F234A3" w:rsidP="34F234A3">
      <w:pPr>
        <w:pStyle w:val="Default"/>
        <w:jc w:val="both"/>
        <w:rPr>
          <w:rFonts w:ascii="Avenir Next" w:hAnsi="Avenir Next"/>
          <w:sz w:val="20"/>
          <w:szCs w:val="20"/>
          <w:highlight w:val="yellow"/>
        </w:rPr>
      </w:pPr>
      <w:r w:rsidRPr="34F234A3">
        <w:rPr>
          <w:rFonts w:ascii="Avenir Next" w:hAnsi="Avenir Next"/>
          <w:sz w:val="20"/>
          <w:szCs w:val="20"/>
        </w:rPr>
        <w:t>A Vásárló a vásárlással vagy a Szolgáltató tevékenységével kapcsolatos fogyasztói kifogásait az alábbi elérhetőségen terjesztheti elő: repa.aranka@gmail.com.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64E91003" w:rsidR="00627B89" w:rsidRPr="00F94AB8" w:rsidRDefault="34F234A3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Tréneri ÁSZF Budapesten, 2024. november 1.napján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34F234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25B9" w14:textId="77777777" w:rsidR="009C7C95" w:rsidRDefault="009C7C95" w:rsidP="003E4915">
      <w:r>
        <w:separator/>
      </w:r>
    </w:p>
  </w:endnote>
  <w:endnote w:type="continuationSeparator" w:id="0">
    <w:p w14:paraId="080D23A0" w14:textId="77777777" w:rsidR="009C7C95" w:rsidRDefault="009C7C95" w:rsidP="003E4915">
      <w:r>
        <w:continuationSeparator/>
      </w:r>
    </w:p>
  </w:endnote>
  <w:endnote w:type="continuationNotice" w:id="1">
    <w:p w14:paraId="0901D401" w14:textId="77777777" w:rsidR="009C7C95" w:rsidRDefault="009C7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F65C3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6DA91" w14:textId="63EDC70F" w:rsidR="000878F1" w:rsidRPr="000878F1" w:rsidRDefault="00FE6BC1" w:rsidP="004F65C3">
    <w:pPr>
      <w:pStyle w:val="llb"/>
      <w:framePr w:wrap="none" w:vAnchor="text" w:hAnchor="margin" w:xAlign="right" w:y="1"/>
      <w:rPr>
        <w:rStyle w:val="Oldalszm"/>
        <w:rFonts w:ascii="Avenir Next" w:hAnsi="Avenir Next"/>
        <w:sz w:val="20"/>
        <w:szCs w:val="20"/>
      </w:rPr>
    </w:pPr>
    <w:sdt>
      <w:sdtPr>
        <w:rPr>
          <w:rStyle w:val="Oldalszm"/>
          <w:rFonts w:ascii="Avenir Next" w:hAnsi="Avenir Next"/>
          <w:sz w:val="20"/>
          <w:szCs w:val="20"/>
        </w:rPr>
        <w:id w:val="-575127896"/>
        <w:docPartObj>
          <w:docPartGallery w:val="Page Numbers (Bottom of Page)"/>
          <w:docPartUnique/>
        </w:docPartObj>
      </w:sdtPr>
      <w:sdtEndPr>
        <w:rPr>
          <w:rStyle w:val="Oldalszm"/>
        </w:rPr>
      </w:sdtEndPr>
      <w:sdtContent>
        <w:r w:rsidR="000878F1" w:rsidRPr="34F234A3">
          <w:rPr>
            <w:rStyle w:val="Oldalszm"/>
            <w:rFonts w:ascii="Avenir Next" w:hAnsi="Avenir Next"/>
            <w:noProof/>
            <w:sz w:val="20"/>
            <w:szCs w:val="20"/>
          </w:rPr>
          <w:fldChar w:fldCharType="begin"/>
        </w:r>
        <w:r w:rsidR="000878F1" w:rsidRPr="34F234A3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="000878F1" w:rsidRPr="34F234A3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34F234A3" w:rsidRPr="34F234A3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="000878F1" w:rsidRPr="34F234A3">
          <w:rPr>
            <w:rStyle w:val="Oldalszm"/>
            <w:rFonts w:ascii="Avenir Next" w:hAnsi="Avenir Next"/>
            <w:noProof/>
            <w:sz w:val="20"/>
            <w:szCs w:val="20"/>
          </w:rPr>
          <w:fldChar w:fldCharType="end"/>
        </w:r>
      </w:sdtContent>
    </w:sdt>
  </w:p>
  <w:p w14:paraId="26909B26" w14:textId="4F8118B2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180E16" id="Téglalap 9" o:spid="_x0000_s1026" style="position:absolute;margin-left:.3pt;margin-top:-16.15pt;width:447.2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kUDUzdAAAACAEAAA8AAABkcnMvZG93bnJl&#10;di54bWxMj8FugzAQRO+V+g/WVuotMRAlSggmQlXbWxWV5AMcvAUKXiPsBPL33Z7a486MZt9kh9n2&#10;4oajbx0piJcRCKTKmZZqBefT22ILwgdNRveOUMEdPRzyx4dMp8ZN9Im3MtSCS8inWkETwpBK6asG&#10;rfZLNyCx9+VGqwOfYy3NqCcut71MomgjrW6JPzR6wJcGq668WgXfx3d318fXuCvw47wqu91pKoxS&#10;z09zsQcRcA5/YfjFZ3TImenirmS86BVsOKdgsUpWINje7tY87cJKso5B5pn8PyD/AQAA//8DAFBL&#10;AQItABQABgAIAAAAIQC2gziS/gAAAOEBAAATAAAAAAAAAAAAAAAAAAAAAABbQ29udGVudF9UeXBl&#10;c10ueG1sUEsBAi0AFAAGAAgAAAAhADj9If/WAAAAlAEAAAsAAAAAAAAAAAAAAAAALwEAAF9yZWxz&#10;Ly5yZWxzUEsBAi0AFAAGAAgAAAAhAP21i15kAgAAtgUAAA4AAAAAAAAAAAAAAAAALgIAAGRycy9l&#10;Mm9Eb2MueG1sUEsBAi0AFAAGAAgAAAAhAAkUDUzdAAAACAEAAA8AAAAAAAAAAAAAAAAAvgQAAGRy&#10;cy9kb3ducmV2LnhtbFBLBQYAAAAABAAEAPMAAADIBQAAAAA=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Repa Aranka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C2CBF" w14:textId="77777777" w:rsidR="009C7C95" w:rsidRDefault="009C7C95" w:rsidP="003E4915">
      <w:r>
        <w:separator/>
      </w:r>
    </w:p>
  </w:footnote>
  <w:footnote w:type="continuationSeparator" w:id="0">
    <w:p w14:paraId="685FDF6A" w14:textId="77777777" w:rsidR="009C7C95" w:rsidRDefault="009C7C95" w:rsidP="003E4915">
      <w:r>
        <w:continuationSeparator/>
      </w:r>
    </w:p>
  </w:footnote>
  <w:footnote w:type="continuationNotice" w:id="1">
    <w:p w14:paraId="59F8CA57" w14:textId="77777777" w:rsidR="009C7C95" w:rsidRDefault="009C7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7433A"/>
    <w:rsid w:val="0007586D"/>
    <w:rsid w:val="000878F1"/>
    <w:rsid w:val="0009458D"/>
    <w:rsid w:val="000C54DE"/>
    <w:rsid w:val="000F243D"/>
    <w:rsid w:val="00130AD7"/>
    <w:rsid w:val="001659A6"/>
    <w:rsid w:val="0016715F"/>
    <w:rsid w:val="00172E04"/>
    <w:rsid w:val="00181E4B"/>
    <w:rsid w:val="001865AC"/>
    <w:rsid w:val="00197164"/>
    <w:rsid w:val="001C0A95"/>
    <w:rsid w:val="001F4253"/>
    <w:rsid w:val="0020476F"/>
    <w:rsid w:val="002077D1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90F39"/>
    <w:rsid w:val="004E3005"/>
    <w:rsid w:val="004E3659"/>
    <w:rsid w:val="004F65C3"/>
    <w:rsid w:val="004F7789"/>
    <w:rsid w:val="0051371F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83F4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C68C8"/>
    <w:rsid w:val="008E3D8E"/>
    <w:rsid w:val="00914B31"/>
    <w:rsid w:val="0093036D"/>
    <w:rsid w:val="00931EBD"/>
    <w:rsid w:val="00943DD1"/>
    <w:rsid w:val="009511E5"/>
    <w:rsid w:val="0095303A"/>
    <w:rsid w:val="00956DFE"/>
    <w:rsid w:val="00964ABA"/>
    <w:rsid w:val="0097434C"/>
    <w:rsid w:val="009C0488"/>
    <w:rsid w:val="009C7C95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32494"/>
    <w:rsid w:val="00B75B9F"/>
    <w:rsid w:val="00B969AE"/>
    <w:rsid w:val="00BC4964"/>
    <w:rsid w:val="00BD1ECE"/>
    <w:rsid w:val="00C13DF6"/>
    <w:rsid w:val="00C30039"/>
    <w:rsid w:val="00C72CC0"/>
    <w:rsid w:val="00C73557"/>
    <w:rsid w:val="00C819A4"/>
    <w:rsid w:val="00C945F6"/>
    <w:rsid w:val="00D04385"/>
    <w:rsid w:val="00D24469"/>
    <w:rsid w:val="00D45336"/>
    <w:rsid w:val="00D90AF8"/>
    <w:rsid w:val="00D95BFA"/>
    <w:rsid w:val="00D97B60"/>
    <w:rsid w:val="00DA00FA"/>
    <w:rsid w:val="00DD4BD3"/>
    <w:rsid w:val="00DF1666"/>
    <w:rsid w:val="00DF5951"/>
    <w:rsid w:val="00E00647"/>
    <w:rsid w:val="00E02030"/>
    <w:rsid w:val="00E03DE4"/>
    <w:rsid w:val="00E17634"/>
    <w:rsid w:val="00E21272"/>
    <w:rsid w:val="00E407B0"/>
    <w:rsid w:val="00E61ACB"/>
    <w:rsid w:val="00E64118"/>
    <w:rsid w:val="00EA0DD3"/>
    <w:rsid w:val="00EC26EF"/>
    <w:rsid w:val="00ED5CEA"/>
    <w:rsid w:val="00EE2BAA"/>
    <w:rsid w:val="00EF0BF6"/>
    <w:rsid w:val="00EF3FB0"/>
    <w:rsid w:val="00F139E8"/>
    <w:rsid w:val="00F54CA5"/>
    <w:rsid w:val="00F6574A"/>
    <w:rsid w:val="00F85ADE"/>
    <w:rsid w:val="00F94AB8"/>
    <w:rsid w:val="00FB7824"/>
    <w:rsid w:val="00FD6906"/>
    <w:rsid w:val="00FE6BC1"/>
    <w:rsid w:val="00FF7A29"/>
    <w:rsid w:val="34F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D67332EF-F4CA-4077-B39B-994D05CB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3319</Words>
  <Characters>22905</Characters>
  <Application>Microsoft Office Word</Application>
  <DocSecurity>0</DocSecurity>
  <Lines>190</Lines>
  <Paragraphs>52</Paragraphs>
  <ScaleCrop>false</ScaleCrop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Aranka Repa</cp:lastModifiedBy>
  <cp:revision>2</cp:revision>
  <cp:lastPrinted>2021-05-19T23:51:00Z</cp:lastPrinted>
  <dcterms:created xsi:type="dcterms:W3CDTF">2024-11-13T15:38:00Z</dcterms:created>
  <dcterms:modified xsi:type="dcterms:W3CDTF">2024-11-13T15:38:00Z</dcterms:modified>
</cp:coreProperties>
</file>