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footer1.xml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venir Next" w:hAnsi="Avenir Next" w:eastAsia="Times New Roman" w:cs="Times New Roman"/>
          <w:b/>
          <w:b/>
          <w:bCs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b/>
          <w:bCs/>
          <w:sz w:val="20"/>
          <w:szCs w:val="20"/>
          <w:lang w:eastAsia="hu-HU"/>
        </w:rPr>
        <w:t>TRÉNERI ÁLTALÁNOS SZERZŐDÉSI FELTÉTELEK</w:t>
      </w:r>
    </w:p>
    <w:p>
      <w:pPr>
        <w:pStyle w:val="Normal"/>
        <w:jc w:val="center"/>
        <w:rPr>
          <w:rFonts w:ascii="Avenir Next" w:hAnsi="Avenir Next" w:eastAsia="Times New Roman" w:cs="Times New Roman"/>
          <w:b/>
          <w:b/>
          <w:bCs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b/>
          <w:bCs/>
          <w:sz w:val="20"/>
          <w:szCs w:val="20"/>
          <w:lang w:eastAsia="hu-HU"/>
        </w:rPr>
        <w:t>2024.1</w:t>
      </w:r>
      <w:r>
        <w:rPr>
          <w:rFonts w:eastAsia="Times New Roman" w:cs="Times New Roman" w:ascii="Avenir Next" w:hAnsi="Avenir Next"/>
          <w:b/>
          <w:bCs/>
          <w:sz w:val="20"/>
          <w:szCs w:val="20"/>
          <w:lang w:eastAsia="hu-HU"/>
        </w:rPr>
        <w:t>2</w:t>
      </w:r>
      <w:r>
        <w:rPr>
          <w:rFonts w:eastAsia="Times New Roman" w:cs="Times New Roman" w:ascii="Avenir Next" w:hAnsi="Avenir Next"/>
          <w:b/>
          <w:bCs/>
          <w:sz w:val="20"/>
          <w:szCs w:val="20"/>
          <w:lang w:eastAsia="hu-HU"/>
        </w:rPr>
        <w:t>.</w:t>
      </w:r>
      <w:r>
        <w:rPr>
          <w:rFonts w:eastAsia="Times New Roman" w:cs="Times New Roman" w:ascii="Avenir Next" w:hAnsi="Avenir Next"/>
          <w:b/>
          <w:bCs/>
          <w:sz w:val="20"/>
          <w:szCs w:val="20"/>
          <w:lang w:eastAsia="hu-HU"/>
        </w:rPr>
        <w:t>03</w:t>
      </w:r>
      <w:r>
        <w:rPr>
          <w:rFonts w:eastAsia="Times New Roman" w:cs="Times New Roman" w:ascii="Avenir Next" w:hAnsi="Avenir Next"/>
          <w:b/>
          <w:bCs/>
          <w:sz w:val="20"/>
          <w:szCs w:val="20"/>
          <w:lang w:eastAsia="hu-HU"/>
        </w:rPr>
        <w:t>.</w:t>
      </w:r>
    </w:p>
    <w:p>
      <w:pPr>
        <w:pStyle w:val="Normal"/>
        <w:rPr>
          <w:rFonts w:ascii="Avenir Next" w:hAnsi="Avenir Next" w:eastAsia="Times New Roman" w:cs="Times New Roman"/>
          <w:b/>
          <w:b/>
          <w:bCs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b/>
          <w:bCs/>
          <w:sz w:val="20"/>
          <w:szCs w:val="20"/>
          <w:lang w:eastAsia="hu-HU"/>
        </w:rPr>
      </w:r>
    </w:p>
    <w:p>
      <w:pPr>
        <w:pStyle w:val="ListParagraph"/>
        <w:numPr>
          <w:ilvl w:val="0"/>
          <w:numId w:val="0"/>
        </w:numPr>
        <w:spacing w:before="288" w:after="288"/>
        <w:ind w:left="1080" w:right="0" w:hanging="0"/>
        <w:jc w:val="both"/>
        <w:rPr>
          <w:rFonts w:ascii="Avenir Next" w:hAnsi="Avenir Next" w:eastAsia="Times New Roman" w:cs="Times New Roman"/>
          <w:b/>
          <w:b/>
          <w:bCs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b/>
          <w:bCs/>
          <w:sz w:val="20"/>
          <w:szCs w:val="20"/>
          <w:lang w:eastAsia="hu-HU"/>
        </w:rPr>
        <w:t xml:space="preserve">I. Általános rendelkezések </w:t>
      </w:r>
    </w:p>
    <w:p>
      <w:pPr>
        <w:pStyle w:val="Normal"/>
        <w:spacing w:before="288" w:after="288"/>
        <w:jc w:val="both"/>
        <w:rPr/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1. </w:t>
      </w:r>
      <w:r>
        <w:rPr>
          <w:rFonts w:eastAsia="Times New Roman" w:cs="Times New Roman" w:ascii="Avenir Next" w:hAnsi="Avenir Next"/>
          <w:sz w:val="20"/>
          <w:szCs w:val="20"/>
          <w:lang w:eastAsia="hu-HU"/>
        </w:rPr>
        <w:t>Dr. Skultéti Judit</w:t>
      </w: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, mint szolgáltató (a továbbiakban: Tréner; részletes adatok és elérhetőség: </w:t>
      </w: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Dr. Skultéti Judit </w:t>
      </w:r>
      <w:r>
        <w:rPr>
          <w:rFonts w:eastAsia="Times New Roman" w:cs="Times New Roman" w:ascii="Avenir Next" w:hAnsi="Avenir Next"/>
          <w:sz w:val="20"/>
          <w:szCs w:val="20"/>
          <w:lang w:eastAsia="hu-HU"/>
        </w:rPr>
        <w:t>székhely: 10</w:t>
      </w:r>
      <w:r>
        <w:rPr>
          <w:rFonts w:eastAsia="Times New Roman" w:cs="Times New Roman" w:ascii="Avenir Next" w:hAnsi="Avenir Next"/>
          <w:sz w:val="20"/>
          <w:szCs w:val="20"/>
          <w:lang w:eastAsia="hu-HU"/>
        </w:rPr>
        <w:t>78 B</w:t>
      </w: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udapest, </w:t>
      </w: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Hernád </w:t>
      </w:r>
      <w:r>
        <w:rPr>
          <w:rFonts w:eastAsia="Times New Roman" w:cs="Times New Roman" w:ascii="Avenir Next" w:hAnsi="Avenir Next"/>
          <w:sz w:val="20"/>
          <w:szCs w:val="20"/>
          <w:lang w:eastAsia="hu-HU"/>
        </w:rPr>
        <w:t>utca 4</w:t>
      </w:r>
      <w:r>
        <w:rPr>
          <w:rFonts w:eastAsia="Times New Roman" w:cs="Times New Roman" w:ascii="Avenir Next" w:hAnsi="Avenir Next"/>
          <w:sz w:val="20"/>
          <w:szCs w:val="20"/>
          <w:lang w:eastAsia="hu-HU"/>
        </w:rPr>
        <w:t>0</w:t>
      </w: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., Adószám: </w:t>
      </w: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8360371458-1-42 Nyilvántartási szám: 51125235; </w:t>
      </w: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e-mail: </w:t>
      </w:r>
      <w:r>
        <w:rPr>
          <w:rFonts w:eastAsia="Times New Roman" w:cs="Times New Roman" w:ascii="Avenir Next" w:hAnsi="Avenir Next"/>
          <w:sz w:val="20"/>
          <w:szCs w:val="20"/>
          <w:lang w:eastAsia="hu-HU"/>
        </w:rPr>
        <w:t>gatizomtorna</w:t>
      </w:r>
      <w:r>
        <w:rPr>
          <w:rFonts w:eastAsia="Times New Roman" w:cs="Times New Roman" w:ascii="Avenir Next" w:hAnsi="Avenir Next"/>
          <w:sz w:val="20"/>
          <w:szCs w:val="20"/>
          <w:lang w:eastAsia="hu-HU"/>
        </w:rPr>
        <w:t>@</w:t>
      </w:r>
      <w:r>
        <w:rPr>
          <w:rFonts w:eastAsia="Times New Roman" w:cs="Times New Roman" w:ascii="Avenir Next" w:hAnsi="Avenir Next"/>
          <w:sz w:val="20"/>
          <w:szCs w:val="20"/>
          <w:lang w:eastAsia="hu-HU"/>
        </w:rPr>
        <w:t>gmail.com</w:t>
      </w:r>
      <w:r>
        <w:rPr>
          <w:rFonts w:eastAsia="Times New Roman" w:cs="Times New Roman" w:ascii="Avenir Next" w:hAnsi="Avenir Next"/>
          <w:sz w:val="20"/>
          <w:szCs w:val="20"/>
          <w:lang w:eastAsia="hu-HU"/>
        </w:rPr>
        <w:t>)</w:t>
      </w: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 Kriston-módszerhez kapcsolódó foglalkozásokat (tanfolyam, tábor, stb.) tart (a továbbiakban: Tanfolyamok) a jelentkező érdeklődők számára.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>2. A Tréner a www.intimtorna.hu weboldalon (a továbbiakban: Weboldal) keresztül, a Tréner által meghirdetett Tanfolyamok lebonyolításáért felel. A Tréner biztosítja a Vásárlók részére a Weboldalakon meghirdetett Tanfolyamoknak a Weboldalon meghirdetett időben és helyen történő lebonyolítását.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3. A jelen Általános Szerződési Feltételek (a továbbiakban: Tréneri ÁSZF) határozza meg a Tréner, valamint a Tanfolyamra jelentkező érdeklődő természetes személy (a továbbiakban: Vásárló; a továbbiakban együttesen: Szerződő Felek) között a Szolgáltatás igénybevételének feltételeit, valamint a Felek között keletkező jogokat és kötelezettségeket.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b/>
          <w:b/>
          <w:bCs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b/>
          <w:bCs/>
          <w:sz w:val="20"/>
          <w:szCs w:val="20"/>
          <w:lang w:eastAsia="hu-HU"/>
        </w:rPr>
        <w:t xml:space="preserve">II. A Tréneri ÁSZF elfogadása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A Vásárló Tanfolyamra jelentkezése internetes vásárlásnak minősül, amely során a „Jelentkezem” gomb használatát megelőzően elfogadja a Tréner által tartott Tanfolyamra vonatkozó szerződés feltételeket (Tréneri ÁSZF). A szerződés létrejöttével a Vásárló kijelenti, hogy a jelen Tréneri ÁSZF-ben foglalt feltételeket megismerte és magára nézve kötelezőnek elfogadta, továbbá tudomásul veszi a Tanfolyam igénybevételéhez szükséges adatai kezelésére vonatkozó szabályokban (Tréneri Adatkezelési Tájékoztató) foglaltakat.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b/>
          <w:b/>
          <w:bCs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b/>
          <w:bCs/>
          <w:sz w:val="20"/>
          <w:szCs w:val="20"/>
          <w:lang w:eastAsia="hu-HU"/>
        </w:rPr>
        <w:t>I</w:t>
      </w:r>
      <w:r>
        <w:rPr>
          <w:rFonts w:eastAsia="Times New Roman" w:cs="Times New Roman" w:ascii="Avenir Next" w:hAnsi="Avenir Next"/>
          <w:b/>
          <w:bCs/>
          <w:sz w:val="20"/>
          <w:szCs w:val="20"/>
          <w:lang w:eastAsia="hu-HU"/>
        </w:rPr>
        <w:t>II</w:t>
      </w:r>
      <w:r>
        <w:rPr>
          <w:rFonts w:eastAsia="Times New Roman" w:cs="Times New Roman" w:ascii="Avenir Next" w:hAnsi="Avenir Next"/>
          <w:b/>
          <w:bCs/>
          <w:sz w:val="20"/>
          <w:szCs w:val="20"/>
          <w:lang w:eastAsia="hu-HU"/>
        </w:rPr>
        <w:t xml:space="preserve">. Írásbeli szerződés, iktatott forma, a szerződés nyelve, a Tréneri ÁSZF területi hatálya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1. Az internetes vásárlás útján létrejött szerződés nem minősül írásbeli szerződésnek, így az iktatott formában nem hozzáférhető. A szerződés létrejöttét az elektronikusan elmentett vásárlási adatok igazolják. </w:t>
      </w:r>
    </w:p>
    <w:p>
      <w:pPr>
        <w:pStyle w:val="Normal"/>
        <w:spacing w:before="288" w:after="288"/>
        <w:jc w:val="both"/>
        <w:rPr/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>2.</w:t>
      </w:r>
      <w:r>
        <w:rPr>
          <w:rFonts w:eastAsia="Times New Roman" w:cs="Times New Roman" w:ascii="Avenir Next" w:hAnsi="Avenir Next"/>
          <w:b/>
          <w:bCs/>
          <w:sz w:val="20"/>
          <w:szCs w:val="20"/>
          <w:lang w:eastAsia="hu-HU"/>
        </w:rPr>
        <w:t xml:space="preserve"> </w:t>
      </w: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A Felek közötti megállapodás magyar nyelven jön létre. Jelen Tréneri ÁSZF területi hatálya kiterjed minden olyan jelentkezésre (szerződéskötésre), amely a Weboldalon keresztül történik Tanfolyamon való részvétel céljából.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b/>
          <w:b/>
          <w:bCs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b/>
          <w:bCs/>
          <w:sz w:val="20"/>
          <w:szCs w:val="20"/>
          <w:lang w:eastAsia="hu-HU"/>
        </w:rPr>
        <w:t>I</w:t>
      </w:r>
      <w:r>
        <w:rPr>
          <w:rFonts w:eastAsia="Times New Roman" w:cs="Times New Roman" w:ascii="Avenir Next" w:hAnsi="Avenir Next"/>
          <w:b/>
          <w:bCs/>
          <w:sz w:val="20"/>
          <w:szCs w:val="20"/>
          <w:lang w:eastAsia="hu-HU"/>
        </w:rPr>
        <w:t xml:space="preserve">V. A Tréneri ÁSZF módosítása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A Tréner tájékoztatja Vásárlót és Vásárló kifejezetten tudomásul veszi, hogy a Tréner jogosult a Tréneri ÁSZF-et egyoldalúan módosítani. A Tréneri ÁSZF módosításának esetén a Tréner a Vásárlót a változásoknak a Weboldalakon történő közzététele útján értesíti, a módosítás hatályba lépését megelőzően legalább harminc (30) nappal.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b/>
          <w:b/>
          <w:bCs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b/>
          <w:bCs/>
          <w:sz w:val="20"/>
          <w:szCs w:val="20"/>
          <w:lang w:eastAsia="hu-HU"/>
        </w:rPr>
        <w:t>V. A Vásárlás feltételei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1. A Tréner fenntartja magának a jogot, hogy a Vásárló megrendelését indokolt esetben visszautasítsa, így különösen valótlan, vagy hiányos adatok megadása, illetve a Kriston-módszerrel, vagy a Jelentkezéssel történő bármilyen visszaélés esetén.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2. A Vásárló kijelenti, hogy adatai a valóságnak megfelelően kerültek megadásra a Weboldalon. A Tréner kizárja felelősségét a vásárlás során megadott téves, hibás vagy hamis adatok vagy e-mail cím megadásából eredő kárért, ugyanakkor az ezzel kapcsolatosan felmerülő kárának megtérítését követelheti a Vásárlótól. A Tréner a Vásárló által megadott adatoknak megfelelően felel a teljesítésért és a számla kiállításáért. A Vásárlónak bármikor lehetősége van adatait ellenőrizni és módosítani. A Tréner jogosult törölni a nyilvánvalóan hibás vagy hamis adatokat, továbbá kétség esetén jogosult a Vásárló valódiságát ellenőrizni.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b/>
          <w:b/>
          <w:bCs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b/>
          <w:bCs/>
          <w:sz w:val="20"/>
          <w:szCs w:val="20"/>
          <w:lang w:eastAsia="hu-HU"/>
        </w:rPr>
        <w:t xml:space="preserve">VI. A Tanfolyamra jelentkezés, szerződéskötés, internetes vásárlás menete </w:t>
      </w:r>
    </w:p>
    <w:p>
      <w:pPr>
        <w:pStyle w:val="ListParagraph"/>
        <w:numPr>
          <w:ilvl w:val="0"/>
          <w:numId w:val="0"/>
        </w:numPr>
        <w:spacing w:before="288" w:after="288"/>
        <w:ind w:left="786" w:right="0" w:hanging="0"/>
        <w:contextualSpacing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1. </w:t>
      </w: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Tanfolyam kiválasztása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A Vásárló a főoldalon vagy a TRÉNINGEK menüpontban választhatja ki a számára megfelelő Tanfolyamot, illetve egyéb rendezvényt, amelyekről a Weboldalakon részletes tájékoztatás olvasható. A Tanfolyam típus kiválasztását követően a találati oldalon választhatja ki a keresett Tanfolyamot, amely hely és időpont, illetve a Tréner személye alapján számára megfelel. A Vásárló a TRÉNEREK menüpontban választhat a Vásárló által megadott helyhez közel működő Trénerek szolgáltatásai közül. A Tanfolyam kiválasztását követően a „JELENTKEZEM” gomb megnyomása után a Vásárlónak választani kell az adott Tréner által meghatározott fizetési opciók közül, amely trénerenként eltérő lehet: bankkártyás fizetés, banki átutalással történő fizetés vagy készpénzes fizetés a Tanfolyam megkezdésekor, illetve ajándékutalvánnyal történő fizetés, ha a Tréner ilyet elfogad.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>2. A Vásárló a Weboldalon a fizetési opció kiválasztását követően találkozik azokkal a nyilatkozatokkal, amelyeket meg kell tennie a jelentkezés (vásárlás) véglegesítése érdekében. Ennek keretében el kell fogadnia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a) a Tréner ÁSZF-jét (Tréneri ÁSZF),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>b) a Tréner Adatkezelési Tájékoztatóját (Tréneri Adatkezelési Tájékoztató)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>c) a szerzői jogi nyilatkozatot és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>d) az előfeltételeknek való megfelelési nyilatkozatot.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>3. A jelentkezés (vásárlás) után Vásárló egy Tájékoztató e-mail üzenetet kap az általa megadott e-mail címre, amely tartalmazza a Tanfolyam fontosabb adatait, a választott fizetési módot és az ahhoz kapcsolódó instrukciókat.</w:t>
      </w:r>
    </w:p>
    <w:p>
      <w:pPr>
        <w:pStyle w:val="Normal"/>
        <w:spacing w:before="288" w:after="288"/>
        <w:jc w:val="both"/>
        <w:rPr/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Ha ezt a visszaigazolást 24 órán belül nem kapja meg, kérjük, hogy a </w:t>
      </w:r>
      <w:r>
        <w:rPr>
          <w:rFonts w:eastAsia="Times New Roman" w:cs="Times New Roman" w:ascii="Avenir Next" w:hAnsi="Avenir Next"/>
          <w:color w:val="0000FF"/>
          <w:sz w:val="20"/>
          <w:szCs w:val="20"/>
          <w:lang w:eastAsia="hu-HU"/>
        </w:rPr>
        <w:t xml:space="preserve">tanfolyam@intimtorna.hu </w:t>
      </w: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e-mail címre küldje el erre vonatkozó jelzését.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4.  Vételár, fizetési és számlázási feltételek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4.1. Tréner a Vásárlót a Vásárló által megadott e-mail címen keresztül tudja elérni. A hibás e- mail cím megadásából fakadó minden kárért a Vásárlót terheli a felelősség.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4.2. A Tanfolyamok árát a Tréner határozza meg és teszi közzé a Weboldalon. A feltüntetett árak bruttó árak. A Tréner fenntartja magának a jogot, hogy bármikor megváltoztassaa a Tanfolyamok díját. Az árváltoztatás joga nem alkalmazható a már megkezdett Tanfolyamokra. </w:t>
      </w:r>
    </w:p>
    <w:p>
      <w:pPr>
        <w:pStyle w:val="Normal"/>
        <w:spacing w:before="288" w:after="288"/>
        <w:jc w:val="both"/>
        <w:rPr/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4.3. A Tréner határozza meg azt is, hogy a banki átutalásos fizetés vagy helyszíni készpénzes vagy utalványos fizetési opciók közül melyike(ke)t fogadják el és kér-e kötelező előleget. A Weboldalon a fizetési opciók között csak azok jelennek meg, amelyeket az adott Tanfolyamot tartó Tréner elfogad. A Tanfolyamok díját a Vásárló a Tájékoztató levél tárgyú visszaigazoló e-mailben kapott információk vagy </w:t>
      </w: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utalásos fizetési módnál a kapott díjbekérő alapján fizeti meg Tréner számára.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4.4. A Tanfolyam díjáról kiállított számlát a Tanfolyamot tartó Tréner e-mailen küldi el a jelentkezéskor megadott címre az ott szereplő adatok alapján.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b/>
          <w:b/>
          <w:bCs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b/>
          <w:bCs/>
          <w:sz w:val="20"/>
          <w:szCs w:val="20"/>
          <w:lang w:eastAsia="hu-HU"/>
        </w:rPr>
        <w:t xml:space="preserve">VII. Elállás a vásárlástól, felmondás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1. A Vásárló a „Jelentkezem” gomb megnyomása előtt bármikor, következmények nélkül megszakíthatja a vásárlását. Ezt követően azonban a Vásárló érvényesen jelentkezett a Tanfolyamra, ugyanakkor a fogyasztó és a vállalkozás közötti szerződések részletes szabályairól szóló 45/2014. (II. 26.) Korm. rendelet 20. § (2) bekezdésének b) pontja értelmében a jelentkezést követő 14 napon belül megilleti az elállási jog, melyet köteles írásban gyakorolni.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2. A Vásárló az elállási jogát az 1. számú mellékletben található Elállási/Felmondási nyilatkozat megfelelő kitöltésével és a kiválasztott Tanfolyamot tartó Tréner részére való megküldésével gyakorolhatja.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3. A Vásárló kifejezetten tudomásul veszi, hogy a Tanfolyam a meghirdetett időpontban kerül megszervezésre és megtartásra. Amennyiben a Vásárló olyan Tanfolyamra jelentkezett, amely a Jelentkezést követően kevesebb, mint 14 napon belül kezdődik, akkor úgy kell tekinteni, hogy a Tréner a szolgáltatás teljesítését a Vásárló kifejezett, előzetes beleegyezésével kezdte meg. Ebben az esetben a Vásárlót a jelentkezést követően indokolás nélküli felmondási jog illeti meg, ami a Vásárló és a Tréner közötti szerződést a jövőre nézve szünteti meg, azaz a Tréner a már teljesített Szolgáltatás díjára igényt tarthat, azt követelheti, illetve azt nem köteles visszatéríteni. </w:t>
      </w:r>
    </w:p>
    <w:p>
      <w:pPr>
        <w:pStyle w:val="Normal"/>
        <w:spacing w:before="288" w:after="288"/>
        <w:jc w:val="both"/>
        <w:rPr/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>4. A Vásárló tudomásul veszi, hogy a Trénernek a Tanfolyam megszervezésével kapcsolatban költségei merülnek fel – pl. terembérleti díj – amelynek összege függhet a jelentkezők számától. Amennyiben a Vásárló elállási vagy felmondási jogát a Tanfolyam kezdő időpontja előtt kevesebb, mint 10 nappal közli a Trénerrel, akkor a Tréner jogosult 10.000 Ft-ot, azaz tízezer forintot, kevesebb, mint 7 napon belül, úgy 15.000 Ft-ot, azaz tizenötezer forintot, 48 órán belül pedig a teljes tanfolyami díjat visszatartani a már kifizetett tanfolyami díjból vagy ennek az összegnek a megfizetését követelni a Vásárlótól a felmerült kiadásai fedezetéül. A különbözetet Tréner 14 napon belül köteles visszafizetni.</w:t>
      </w: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b/>
          <w:b/>
          <w:bCs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b/>
          <w:bCs/>
          <w:sz w:val="20"/>
          <w:szCs w:val="20"/>
          <w:lang w:eastAsia="hu-HU"/>
        </w:rPr>
        <w:t>VIII</w:t>
      </w:r>
      <w:r>
        <w:rPr>
          <w:rFonts w:eastAsia="Times New Roman" w:cs="Times New Roman" w:ascii="Avenir Next" w:hAnsi="Avenir Next"/>
          <w:b/>
          <w:bCs/>
          <w:sz w:val="20"/>
          <w:szCs w:val="20"/>
          <w:lang w:eastAsia="hu-HU"/>
        </w:rPr>
        <w:t xml:space="preserve">. A Tréner szolgáltatásának feltételei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1. A Tréner csak a neki felróható szándékos vagy súlyosan gondatlan hibákkal okozott károkért felel, és felelősségének mértéke nem haladhatja meg a vásárlási tranzakció értékét.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2. A Vásárló tudomásul veszi, hogy a Tréner vagy a Szolgáltató nem felelős semmilyen olyan kárért vagy visszaélésért, amely a bankkártyával történő fizetés során vagy következtében keletkezik.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3. A Tréner kizárja a felelősséget minden olyan kárért, amelyet a Vásárló, vagy harmadik személy szerződés- illetve jogellenes tevékenysége vagy mulasztása okozott.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4. A Tréner az oktatás minőségéért felelősséget vállal, azonban az otthoni alkalmazás a Vásárló felelőssége. A tanultaktól való eltérő gyakorlat alkalmazása nem javasolt.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>5. A Tanfolyamhoz kapcsolódó információkat tartalmazó emailek a Tréner rendes üzletviteléhez, a Vásárlói élmény és a Tanfolyamok színvonalának fenntartásához szükségesek és nem minősülnek hírlevélnek.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>6. A Tréner korlátozás nélkül jogosult a Vásárló észrevételeinek hasznosítására, felhasználására, közzétételére, átdolgozására, törlésére, nyilvánosságra hozatalára anélkül, hogy a Vásárló részére ezért bármilyen módon ellenszolgáltatást kellene nyújtania.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7. A Tanfolyam megfelelő lebonyolítása a meghirdetett időpontban és helyszínen a Tréner kötelezettsége. A Tréner és a Tanfolyam adatai a jelentkezést követően küldött emailben (visszaigazolás), illetve a Weblapon szerepelnek. A Tréner mindent megtesz annak érdekében, hogy a Tanfolyam esetleges elmaradása esetén emailben tájékoztassa a Vásárlót és a Tanfolyam egy későbbi időpontban történő megtartását vagy a Tanfolyam árának teljeskörű visszatérítésének módját egyeztessék.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8. A Tréner a vásárláskor megadott személyes adatokat a jogszabályoknak megfelelően, az adatvédelmi tájékoztatójában meghatározottak szerint kezeli.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b/>
          <w:b/>
          <w:bCs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b/>
          <w:bCs/>
          <w:sz w:val="20"/>
          <w:szCs w:val="20"/>
          <w:lang w:eastAsia="hu-HU"/>
        </w:rPr>
        <w:t>I</w:t>
      </w:r>
      <w:r>
        <w:rPr>
          <w:rFonts w:eastAsia="Times New Roman" w:cs="Times New Roman" w:ascii="Avenir Next" w:hAnsi="Avenir Next"/>
          <w:b/>
          <w:bCs/>
          <w:sz w:val="20"/>
          <w:szCs w:val="20"/>
          <w:lang w:eastAsia="hu-HU"/>
        </w:rPr>
        <w:t xml:space="preserve">X. A Tanfolyamra vonatkozó szabályok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1. A Jelentkezés és az azt követően kapott visszaigazolás nem ruházható át.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2. Amennyiben a visszaigazoláson más nem kerül feltüntetésre, úgy a visszaigazolás az azon szereplő Tanfolyamon való részvételre jogosítja fel annak felmutatóját, egy főt.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3. Amennyiben a Visszaigazolásban szereplő időpont vagy helyszín utóbb módosul, úgy erről a Tanfolyamot szervező Tréner közvetlenül értesíti a Vásárlót. </w:t>
      </w:r>
    </w:p>
    <w:p>
      <w:pPr>
        <w:pStyle w:val="Normal"/>
        <w:spacing w:before="288" w:after="288"/>
        <w:jc w:val="both"/>
        <w:rPr/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5. </w:t>
      </w:r>
      <w:r>
        <w:rPr>
          <w:rFonts w:eastAsia="Times New Roman" w:cs="Times New Roman" w:ascii="Avenir Next" w:hAnsi="Avenir Next"/>
          <w:b/>
          <w:bCs/>
          <w:sz w:val="20"/>
          <w:szCs w:val="20"/>
          <w:lang w:eastAsia="hu-HU"/>
        </w:rPr>
        <w:t>A Tanfolyamról kép- és hangfelvétel, jegyzet semmilyen formában nem készülhet</w:t>
      </w:r>
      <w:r>
        <w:rPr>
          <w:rFonts w:eastAsia="Times New Roman" w:cs="Times New Roman" w:ascii="Avenir Next" w:hAnsi="Avenir Next"/>
          <w:sz w:val="20"/>
          <w:szCs w:val="20"/>
          <w:lang w:eastAsia="hu-HU"/>
        </w:rPr>
        <w:t>.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6. A Vásárló a jelen Tréneri ÁSZF elfogadásával kijelenti és vállalja, hogy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>- a Tanfolyamon jobb életminőségének elérése érdekében vesz részt, mely nem helyettesíti a szakértői diagnózist, kezelést, ugyanakkor az adottságai figyelembevételével, saját felelősségére alkalmazza az elsajátított ismereteket;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- az itt megszerzett tudást kizárólag saját épülésére hasznosítja;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- amennyiben fitnesz/jóga/gyógytorna stb. oktatással foglalkozik, akkor a Tanfolyamon megismert gyakorlatokat saját foglalkozásaiba nem építi be (a tilalom kiterjed a gyakorlatoknak módosított formában vagy más elnevezéssel való integrálására is;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>- a tréningen elsajátított gyakorlatok</w:t>
      </w:r>
      <w:r>
        <w:rPr>
          <w:rFonts w:eastAsia="Times New Roman" w:cs="Times New Roman" w:ascii="Avenir Next" w:hAnsi="Avenir Next"/>
          <w:sz w:val="20"/>
          <w:szCs w:val="20"/>
          <w:lang w:eastAsia="hu-HU"/>
        </w:rPr>
        <w:t>at</w:t>
      </w: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, valamint a hanganyagot semmilyen formában nincs joga továbbadni, nyilvánosságra hozni, azok Kriston Andrea szellemi tulajdonát képezik és javára szerzői jogi oltalom alatt állnak;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- a jelen nyilatkozatban vállalt kötelezettségei megsértése esetén anyagilag is felelősségre vonható;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>- a tanfolyamra jelentkezés során tekintetbe veszi a következőket: altesti szerveit érintő kezelés</w:t>
      </w:r>
      <w:r>
        <w:rPr>
          <w:rFonts w:eastAsia="Times New Roman" w:cs="Times New Roman" w:ascii="Avenir Next" w:hAnsi="Avenir Next"/>
          <w:sz w:val="20"/>
          <w:szCs w:val="20"/>
          <w:lang w:eastAsia="hu-HU"/>
        </w:rPr>
        <w:t>t/</w:t>
      </w: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műtétet követően megvárja a fájdalom elmúltát és az orvos azon engedélyét, hogy normál életvitelt folytathat. Várandósan, amennyiben az orvos nem tiltja a normál életvitelt, úgy bátran érkezhet a tanfolyamra a 9 hónap alatt bármikor. Trombotizálódott aranyér esetén annak szakorvosi kezelését követően javasolt a tanfolyam.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7. A jelen Tréneri ÁSZF rendelkezéseit, illetve a Tanfolyam helyszínéül szolgáló intézmény házirendjét, a biztonsági szolgálat és egyéb rendvédelmi szervek utasításait megszegő Vásárlót a Tréner a Tanfolyam biztonságos lebonyolítása, illetve a Tanfolyamon tartózkodó személyek zavartalan részvételének biztosítása érdekében eltávolíthatja. Az ilyen indokból történő kizárás esetén a Tréner kártérítésre vagy a Tanfolyam díjának részleges vagy teljes visszatérítésére nem kötelezhető.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8. Az otthoni gyakorlást segítő hanganyag szerzői jogvédelem alatt áll. Vásárló tudomásul veszi, hogy a hangfile tartamát sem egészében, sem részben, kereskedelmi forgalomba nem hozhatja, a hanganyagot nem sokszorosíthatja, nem többszörözheti, nem terjesztheti, nem adhatja tovább másnak, nyilvánosság előtt nem játszhatja le, nem dolgozhatja át, az internetre, közösségi oldalakra nem teheti föl. Tudomásul veszi, hogy a szerzői jog megsértéséért anyagi felelősséggel tartozik.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9. Amennyiben háború, lázadás, terrorcselekmény, sztrájk, baleset, tűz, blokád, árvíz, természeti katasztrófa, súlyos energiaellátási zavar vagy más olyan előre nem látható és elháríthatatlan akadály következményeképpen, amely a Vásárló, illetőleg a Tréner hatókörén kívül esik, valamelyikük nem képes valamilyen szerződéses kötelezettségének eleget tenni, úgy ezen személy nem tartozik felelősséggel semmilyen veszteségért vagy kárért, amely ezen események következtében előállt.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b/>
          <w:b/>
          <w:bCs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b/>
          <w:bCs/>
          <w:sz w:val="20"/>
          <w:szCs w:val="20"/>
          <w:lang w:eastAsia="hu-HU"/>
        </w:rPr>
        <w:t xml:space="preserve">X. Értékelés </w:t>
      </w:r>
    </w:p>
    <w:p>
      <w:pPr>
        <w:pStyle w:val="Normal"/>
        <w:spacing w:before="288" w:after="288"/>
        <w:jc w:val="both"/>
        <w:rPr/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1. A Vásárlónak lehetősége van a Tréner megadott szempontok szerinti pontozásos és szabad szöveges értékelésére, amennyiben részt vett egy Tréner által tartott Tanfolyamon. Az értékelés megjelenik a Weboldalon a Vásárló keresztnevének feltüntetése mellett, azonban szolgáltató semmilyen formában nem hozza nyilvánosságra az értékelést adó teljes nevét. A Tréner értékelése opcionális, ugyanakkor amennyiben tartozik gyakorlást segítő hanganyag a Tanfolyamhoz, úgy annak elérése ehhez kötött. </w:t>
      </w:r>
      <w:r>
        <w:rPr>
          <w:rFonts w:cs="Calibri" w:ascii="Avenir Next" w:hAnsi="Avenir Next"/>
          <w:color w:val="000000"/>
          <w:sz w:val="20"/>
          <w:szCs w:val="20"/>
        </w:rPr>
        <w:t xml:space="preserve">Trénernek joga van, hogy utólag sértőként értékelje a közzétett értékelést, jelezve ezt a Weboldal szolgáltatója felé, amelyet követően szolgáltató felülvizsgálja a kérdéses értékelést és amennyiben valóban sértőnek ítéli, úgy az értékelés törlésre kerülhet. </w:t>
      </w:r>
    </w:p>
    <w:p>
      <w:pPr>
        <w:pStyle w:val="Normal"/>
        <w:spacing w:before="288" w:after="288"/>
        <w:jc w:val="both"/>
        <w:rPr/>
      </w:pPr>
      <w:r>
        <w:rPr>
          <w:rFonts w:cs="Calibri" w:ascii="Avenir Next" w:hAnsi="Avenir Next"/>
          <w:color w:val="000000"/>
          <w:sz w:val="20"/>
          <w:szCs w:val="20"/>
        </w:rPr>
        <w:t>2. A Vásárló kötelezettséget vállal arra, hogy az értékelésekor nem tesz jogsértő, a jóhírnévre, becsületre sértő, etikátlan, valótlan vagy bármilyen egyéb ok vagy tény alapján a szolgáltatóra, másik vásárlóra vagy bármely Trénerre sérelmes megnyilvánulást. A Weboldal szolgáltatója csupán akkor ellenőrzi az értékeléseket, ha annak tartalmára felhívják a figyelmét. Ebben az esetben a szolgáltató a rendelkezésére álló információk alapján mérlegeli az ügy összes körülményét és szabadon dönt a teljes értékelés eltávolításáról. Ezen túlmenően is, szolgáltató fenntartja a jogot, hogy bármilyen értékelést saját belátása szerint bármikor eltávolítson.</w:t>
      </w: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 </w:t>
      </w:r>
    </w:p>
    <w:p>
      <w:pPr>
        <w:pStyle w:val="Default"/>
        <w:jc w:val="both"/>
        <w:rPr>
          <w:rFonts w:ascii="Avenir Next" w:hAnsi="Avenir Next"/>
          <w:b/>
          <w:b/>
          <w:bCs/>
          <w:sz w:val="20"/>
          <w:szCs w:val="20"/>
        </w:rPr>
      </w:pPr>
      <w:r>
        <w:rPr>
          <w:rFonts w:ascii="Avenir Next" w:hAnsi="Avenir Next"/>
          <w:b/>
          <w:bCs/>
          <w:sz w:val="20"/>
          <w:szCs w:val="20"/>
        </w:rPr>
        <w:t xml:space="preserve">XI. Panaszkezelés és egyéb jogérvényesítő lehetőségek </w:t>
      </w:r>
    </w:p>
    <w:p>
      <w:pPr>
        <w:pStyle w:val="Default"/>
        <w:jc w:val="both"/>
        <w:rPr/>
      </w:pPr>
      <w:r>
        <w:rPr>
          <w:rFonts w:ascii="Avenir Next" w:hAnsi="Avenir Next"/>
          <w:sz w:val="20"/>
          <w:szCs w:val="20"/>
        </w:rPr>
        <w:t xml:space="preserve">A Vásárló a vásárlással vagy a Szolgáltató tevékenységével kapcsolatos fogyasztói kifogásait az alábbi elérhetőségen terjesztheti elő: </w:t>
      </w:r>
      <w:r>
        <w:rPr>
          <w:rFonts w:ascii="Avenir Next" w:hAnsi="Avenir Next"/>
          <w:sz w:val="20"/>
          <w:szCs w:val="20"/>
          <w:highlight w:val="yellow"/>
        </w:rPr>
        <w:t>info@intimtorna.hu.</w:t>
      </w:r>
    </w:p>
    <w:p>
      <w:pPr>
        <w:pStyle w:val="Default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>A Weboldal szolgáltatója a hozzá írásban érkezett panaszt haladéktalanul továbbítja Tréner számára, aki azt 30 napon belül érdemben megválaszolja. A panasz elutasítása esetén a Tréner tájékoztatja a Vásárlót az elutasítás indokáról, valamint arról, hogy a Vásárló a panasz jellegétől függően mely hatóság, vagy békéltető testület eljárás</w:t>
      </w:r>
      <w:r>
        <w:rPr>
          <w:rFonts w:ascii="Avenir Next" w:hAnsi="Avenir Next"/>
          <w:sz w:val="20"/>
          <w:szCs w:val="20"/>
        </w:rPr>
        <w:t>á</w:t>
      </w:r>
      <w:r>
        <w:rPr>
          <w:rFonts w:ascii="Avenir Next" w:hAnsi="Avenir Next"/>
          <w:sz w:val="20"/>
          <w:szCs w:val="20"/>
        </w:rPr>
        <w:t xml:space="preserve">t kezdeményezheti. Amennyiben a Tréner és a Vásárló között esetlegesen fennálló jogvita a Trénerrel folytatott tárgyalások során nem rendeződik, a Vásárló bírósági eljárást kezdeményezhet, továbbá – amennyiben a Vásárló fogyasztónak minősül – fogyasztói jogvita esetén az alábbi jogérvényesítési lehetőségek állnak nyitva a Vásárló számára: </w:t>
      </w:r>
    </w:p>
    <w:p>
      <w:pPr>
        <w:pStyle w:val="Default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 xml:space="preserve">- Panasztétel a fogyasztóvédelmi hatóságnál, </w:t>
      </w:r>
    </w:p>
    <w:p>
      <w:pPr>
        <w:pStyle w:val="Default"/>
        <w:jc w:val="both"/>
        <w:rPr/>
      </w:pPr>
      <w:r>
        <w:rPr>
          <w:rFonts w:ascii="Avenir Next" w:hAnsi="Avenir Next"/>
          <w:sz w:val="20"/>
          <w:szCs w:val="20"/>
        </w:rPr>
        <w:t>A fogyasztóvédelmi elsőfokú hatósági feladatokat a fogyasztó lakóhelye szerint illetékes fővárosi és vármegyei kormányhivatalok látják el, ezek listája itt található: </w:t>
      </w:r>
      <w:hyperlink r:id="rId2">
        <w:r>
          <w:rPr>
            <w:rStyle w:val="Alaprtelmezettstlus"/>
            <w:rFonts w:ascii="Avenir Next" w:hAnsi="Avenir Next"/>
            <w:sz w:val="20"/>
            <w:szCs w:val="20"/>
          </w:rPr>
          <w:t>http://www.kormanyhivatalok.hu/</w:t>
        </w:r>
      </w:hyperlink>
    </w:p>
    <w:p>
      <w:pPr>
        <w:pStyle w:val="Default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 xml:space="preserve">- Békéltető testület eljárásának kezdeményezése. </w:t>
      </w:r>
    </w:p>
    <w:p>
      <w:pPr>
        <w:pStyle w:val="Alaprtelmezett"/>
        <w:spacing w:lineRule="auto" w:line="240" w:before="0" w:after="240"/>
        <w:jc w:val="both"/>
        <w:rPr>
          <w:rFonts w:ascii="Avenir Next" w:hAnsi="Avenir Next" w:eastAsia="Calibri" w:cs="Calibri"/>
          <w:sz w:val="20"/>
          <w:szCs w:val="20"/>
          <w:lang w:eastAsia="en-US"/>
        </w:rPr>
      </w:pPr>
      <w:r>
        <w:rPr>
          <w:rFonts w:eastAsia="Calibri" w:cs="Calibri" w:ascii="Avenir Next" w:hAnsi="Avenir Next"/>
          <w:sz w:val="20"/>
          <w:szCs w:val="20"/>
          <w:lang w:eastAsia="en-US"/>
        </w:rPr>
        <w:t>Amennyiben az Ön fogyasztói panaszát elutasítjuk, úgy Ön jogosult az Ön lakóhelye, tartózkodási helye szerinti illetékes, vagy az Ön által a kérelemben megjelölt Békéltető Testülethez fordulni. A békéltető testület eljárása megindításának feltétele, hogy a fogyasztó az érintett vállalkozással közvetlenül megkísérelje a vitás ügy rendezését.</w:t>
      </w:r>
    </w:p>
    <w:p>
      <w:pPr>
        <w:pStyle w:val="Alaprtelmezett"/>
        <w:spacing w:lineRule="auto" w:line="240" w:before="0" w:after="240"/>
        <w:jc w:val="both"/>
        <w:rPr/>
      </w:pPr>
      <w:r>
        <w:rPr>
          <w:rFonts w:eastAsia="Calibri" w:cs="Calibri" w:ascii="Avenir Next" w:hAnsi="Avenir Next"/>
          <w:sz w:val="20"/>
          <w:szCs w:val="20"/>
          <w:lang w:eastAsia="en-US"/>
        </w:rPr>
        <w:t xml:space="preserve">A békéltető testület – kivéve, ha a fogyasztó személyes meghallgatást kér - a meghallgatást személyes jelenlét nélküli, hang- és képi átvitelt egyidejűleg biztosító elektronikai eszköz útján online formában tartja meg (a továbbiakban: online meghallgatás). </w:t>
      </w:r>
      <w:r>
        <w:rPr>
          <w:rFonts w:ascii="Avenir Next" w:hAnsi="Avenir Next"/>
          <w:sz w:val="20"/>
          <w:szCs w:val="20"/>
        </w:rPr>
        <w:t>A Trénert a békéltető testületi eljárásban együttműködési kötelezettség terheli, ennek keretében köteles a békéltető testület felhívására határidőn belül válasziratát megküldeni a békéltető testület számára. A fogyasztói jogviták online rendezéséről, valamint a 2006/2004/EK rendelet és a 2009/22/EK irányelv módosításáról szóló, 2013. május 21-i 524/2013/EU európai parlamenti és tanácsi rendelet alkalmazásának kivételével a vállalkozás a meghallgatáson egyezség létrehozatalára feljogosított személy részvételét biztosítani köteles. Az online meghallgatáson a vállalkozás egyezség létrehozására feljogosított képviselője köteles online részt venni. Ha a fogyasztó személyes meghallgatást kér, a vállalkozás egyezség létrehozására feljogosított képviselője köteles legalább online részt venni a meghallgatáson.</w:t>
      </w:r>
    </w:p>
    <w:p>
      <w:pPr>
        <w:pStyle w:val="Default"/>
        <w:jc w:val="both"/>
        <w:rPr/>
      </w:pPr>
      <w:r>
        <w:rPr>
          <w:rFonts w:ascii="Avenir Next" w:hAnsi="Avenir Next"/>
          <w:sz w:val="20"/>
          <w:szCs w:val="20"/>
        </w:rPr>
        <w:t xml:space="preserve">Az egyes megyékben található békéltető testületek elérhetőségeit itt megtekintheti: </w:t>
      </w:r>
      <w:hyperlink r:id="rId3">
        <w:r>
          <w:rPr>
            <w:rStyle w:val="Alaprtelmezettstlus"/>
            <w:rFonts w:eastAsia="Arial Unicode MS" w:cs="Arial Unicode MS" w:ascii="Avenir Next" w:hAnsi="Avenir Next"/>
            <w:sz w:val="20"/>
            <w:szCs w:val="20"/>
            <w:lang w:eastAsia="hu-HU"/>
          </w:rPr>
          <w:t>http://www.bekeltetes.hu/index.php?id=testuletek</w:t>
        </w:r>
      </w:hyperlink>
      <w:r>
        <w:rPr>
          <w:rFonts w:eastAsia="Arial Unicode MS" w:cs="Arial Unicode MS" w:ascii="Avenir Next" w:hAnsi="Avenir Next"/>
          <w:sz w:val="20"/>
          <w:szCs w:val="20"/>
          <w:lang w:eastAsia="hu-HU"/>
        </w:rPr>
        <w:t xml:space="preserve">. </w:t>
      </w:r>
    </w:p>
    <w:p>
      <w:pPr>
        <w:pStyle w:val="Default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</w:r>
    </w:p>
    <w:p>
      <w:pPr>
        <w:pStyle w:val="Default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>Amennyiben a Vásárló, mint fogyasztó nem fordult békéltető testülethez, vagy az eljárás nem vezetett eredményre, úgy a fogyasztónak a jogvita rendezése érdekében lehetősége van bírósághoz fordulni. Amennyiben a Vásárló fogyasztónak minősül, úgy a Pp. 26.§ (1) bekezdés alapján a fogyasztóval szemben jelen szerződésből eredő vitás ügyekben a fogyasztó belföldi lakóhelye szerinti bíróság kizárólagosan illetékes. Egyéb ügyekben a Szolgáltató székhelye szerinti illetékes és hatáskörrel rendelkező bíróságot kötik ki a felek, mint illetékes bíróságot.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b/>
          <w:b/>
          <w:bCs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b/>
          <w:bCs/>
          <w:sz w:val="20"/>
          <w:szCs w:val="20"/>
          <w:lang w:eastAsia="hu-HU"/>
        </w:rPr>
        <w:t xml:space="preserve">XII. Vásárló szerzői művekkel kapcsolatos vállalása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A Tanfolyamon elhangzott információk és más dokumentumok, valamint a Weboldalon megjelenített információk szerzői jogi védelem alatt állnak, az ezekhez fűződő jogok a Weboldal szolgáltatóját, illetve a jogtulajdonosokat illetik meg. A szerzői műveket a jogtulajdonosok kifejezett előzetes írásbeli jóváhagyása nélkül a vásárló a honlap céljától eltérően nem használhatja, nem másolhatja, nem terjesztheti, és nem teheti közzé.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b/>
          <w:b/>
          <w:bCs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b/>
          <w:bCs/>
          <w:sz w:val="20"/>
          <w:szCs w:val="20"/>
          <w:lang w:eastAsia="hu-HU"/>
        </w:rPr>
        <w:t>XI</w:t>
      </w:r>
      <w:r>
        <w:rPr>
          <w:rFonts w:eastAsia="Times New Roman" w:cs="Times New Roman" w:ascii="Avenir Next" w:hAnsi="Avenir Next"/>
          <w:b/>
          <w:bCs/>
          <w:sz w:val="20"/>
          <w:szCs w:val="20"/>
          <w:lang w:eastAsia="hu-HU"/>
        </w:rPr>
        <w:t>II</w:t>
      </w:r>
      <w:r>
        <w:rPr>
          <w:rFonts w:eastAsia="Times New Roman" w:cs="Times New Roman" w:ascii="Avenir Next" w:hAnsi="Avenir Next"/>
          <w:b/>
          <w:bCs/>
          <w:sz w:val="20"/>
          <w:szCs w:val="20"/>
          <w:lang w:eastAsia="hu-HU"/>
        </w:rPr>
        <w:t xml:space="preserve">. Záró rendelkezések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>1. A jelen Tréneri ÁSZF közzététele napjától határozatlan ideig érvényes.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2. A jelen Tréneri ÁSZF magyar nyelven készült, értelmezésében a magyar jog szabályai az irányadók.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3. A jelen Tréneri ÁSZF-ben nem szabályozott kérdésekben a Polgári Törvénykönyvről szóló 2013. évi V. törvény vonatkozó rendelkezései megfelelően irányadóak. </w:t>
      </w:r>
    </w:p>
    <w:p>
      <w:pPr>
        <w:pStyle w:val="Default"/>
        <w:jc w:val="both"/>
        <w:rPr/>
      </w:pPr>
      <w:r>
        <w:rPr>
          <w:rFonts w:ascii="Avenir Next" w:hAnsi="Avenir Next"/>
          <w:sz w:val="20"/>
          <w:szCs w:val="20"/>
        </w:rPr>
        <w:t xml:space="preserve">4. A jelen </w:t>
      </w: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Tréneri </w:t>
      </w:r>
      <w:r>
        <w:rPr>
          <w:rFonts w:ascii="Avenir Next" w:hAnsi="Avenir Next"/>
          <w:sz w:val="20"/>
          <w:szCs w:val="20"/>
        </w:rPr>
        <w:t xml:space="preserve">ÁSZF-ben nem szabályozott kérdésekre, valamint értelmezésére a magyar jog az irányadó, különös tekintettel a Polgári Törvénykönyvről szóló 2013. évi V. törvény (a továbbiakban: Ptk.), a fogyasztóvédelemről szóló 1997. évi CLV. törvény, az elektronikus kereskedelmi szolgáltatások, valamint az információs társadalommal összefüggő szolgáltatások egyes kérdéseiről szóló 2001. évi CVIII. törvény, a fogyasztókkal szembeni tisztességtelen kereskedelmi gyakorlat tilalmáról szóló 2008. évi XLVII. törvény, valamint a fogyasztó és a Szolgáltató közötti szerződések részletes szabályairól szóló 45/2014. (II. 26.) Korm. rendelet vonatkozó rendelkezéseire. A vonatkozó jogszabályok kötelező rendelkezései a felekre külön kikötés nélkül is irányadók. </w:t>
      </w:r>
    </w:p>
    <w:p>
      <w:pPr>
        <w:pStyle w:val="Default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 xml:space="preserve">5. Jelen ÁSZF alkalmazásában fogyasztónak az a 18. életévét betöltött természetes személy minősül, aki a Ptk. 8:1. § (1) bekezdés 3. pontja szerint szakmája, önálló foglalkozása vagy üzleti tevékenysége körén kívül jár el. </w:t>
      </w:r>
    </w:p>
    <w:p>
      <w:pPr>
        <w:pStyle w:val="Default"/>
        <w:jc w:val="both"/>
        <w:rPr>
          <w:rFonts w:ascii="Avenir Next" w:hAnsi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 xml:space="preserve">6. Szolgáltató és a Vásárló vitás ügyeiket elsősorban békés úton próbálják rendezni. Ha a jelen Szabályzat bármely része érvénytelenné, jogellenessé vagy érvényesíthetetlenné válik, az a fennmaradó részek érvényességét, jogszerűségét és érvényesíthetőségét nem érinti. </w:t>
      </w:r>
    </w:p>
    <w:p>
      <w:pPr>
        <w:pStyle w:val="Normal"/>
        <w:spacing w:before="288" w:after="288"/>
        <w:jc w:val="both"/>
        <w:rPr/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A jelen Tréneri ÁSZF Budapesten, 2024. </w:t>
      </w: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12. </w:t>
      </w:r>
      <w:r>
        <w:rPr>
          <w:rFonts w:eastAsia="Times New Roman" w:cs="Times New Roman" w:ascii="Avenir Next" w:hAnsi="Avenir Next"/>
          <w:sz w:val="20"/>
          <w:szCs w:val="20"/>
          <w:lang w:eastAsia="hu-HU"/>
        </w:rPr>
        <w:t>03.</w:t>
      </w: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 n</w:t>
      </w: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apján került elfogadásra.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b/>
          <w:b/>
          <w:bCs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b/>
          <w:bCs/>
          <w:sz w:val="20"/>
          <w:szCs w:val="20"/>
          <w:lang w:eastAsia="hu-HU"/>
        </w:rPr>
        <w:t>1. sz. melléklet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b/>
          <w:b/>
          <w:bCs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b/>
          <w:bCs/>
          <w:sz w:val="20"/>
          <w:szCs w:val="20"/>
          <w:lang w:eastAsia="hu-HU"/>
        </w:rPr>
        <w:t xml:space="preserve">Elállási/Felmondási mintatájékoztató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b/>
          <w:b/>
          <w:bCs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b/>
          <w:bCs/>
          <w:sz w:val="20"/>
          <w:szCs w:val="20"/>
          <w:lang w:eastAsia="hu-HU"/>
        </w:rPr>
        <w:t xml:space="preserve">Elállási/Felmondási jog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Ön 14 napon belül jogosult indokolás nélkül elállni e szerződéstől. Hasonlóképpen, ha a szolgáltatás nyújtására irányuló szerződés esetén a szerződés teljesítése megkezdődött, Ön jogosult 14 napon belül indokolás nélkül felmondani a szerződést.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Az elállási/felmondási határidő a szolgáltatás nyújtására irányuló szerződés esetén a szerződés megkötésének napjától számított 14 nap elteltével jár le. </w:t>
      </w:r>
    </w:p>
    <w:p>
      <w:pPr>
        <w:pStyle w:val="Normal"/>
        <w:spacing w:before="288" w:after="288"/>
        <w:jc w:val="both"/>
        <w:rPr/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Ha Ön elállási/felmondási jogával élni kíván, elállási/felmondási szándékát tartalmazó egyértelmű nyilatkozatát köteles eljuttatni (például postán, telefaxon vagy elektronikus úton küldött levél útján) az Ön által kiválasztott Tanfolyamot tartó Tréner címére. (Trénerek menüpont alatt – </w:t>
      </w:r>
      <w:r>
        <w:rPr>
          <w:rFonts w:eastAsia="Times New Roman" w:cs="Times New Roman" w:ascii="Avenir Next" w:hAnsi="Avenir Next"/>
          <w:b/>
          <w:bCs/>
          <w:i/>
          <w:iCs/>
          <w:sz w:val="20"/>
          <w:szCs w:val="20"/>
          <w:lang w:eastAsia="hu-HU"/>
        </w:rPr>
        <w:t xml:space="preserve">https://www.intimtorna.hu/hu/trenerek)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Ebből a célból felhasználhatja a mellékelt elállási/felmondási nyilatkozat-mintát is.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Ön határidőben gyakorolja elállási/felmondási jogát, ha a fent megjelölt határidő lejárta előtt elküldi elállási/felmondási nyilatkozatát.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b/>
          <w:b/>
          <w:bCs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b/>
          <w:bCs/>
          <w:sz w:val="20"/>
          <w:szCs w:val="20"/>
          <w:lang w:eastAsia="hu-HU"/>
        </w:rPr>
        <w:t xml:space="preserve">Az elállás/felmondás joghatásai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Ha Ön eláll ettől a szerződéstől, haladéktalanul, de legkésőbb az Ön elállási nyilatkozatának kézhezvételétől számított 14 napon belül visszatérítjük az Ön által teljesített valamennyi ellenszolgáltatást. A visszatérítés során az eredeti ügylet során alkalmazott fizetési móddal egyező fizetési módot alkalmazunk, kivéve, ha Ön más fizetési mód igénybevételéhez kifejezetten a hozzájárulását adja; e visszatérítési mód alkalmazásából kifolyólag Önt semmilyen többletköltség nem terheli.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A meghatározott időpontban meghirdetett Tanfolyamokra történő jelentkezés során Ön kifejezetten elfogadta, hogy a Tréner a Szolgáltatást a meghirdetett időpontban nyújtja, abban az esetben is, ha ez az időpont az elállási határidőn belül esik. Ezzel Ön kifejezetten elfogadta, hogy esetlegesen az elállási idő letelte előtt kezdődjön meg a szolgáltatás teljesítése, ezért felmondása esetén Ön köteles megtéríteni a Tréner számára a szerződés megszűnésének időpontjáig arányosan teljesített szolgáltatásért járó összeget. Hasonlóképpen visszatérítjük az Ön által nyújtott ellenszolgáltatás azon részét, amely meghaladja az általunk nyújtott szolgáltatás ellenértékét.”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b/>
          <w:b/>
          <w:bCs/>
          <w:i/>
          <w:i/>
          <w:iCs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b/>
          <w:bCs/>
          <w:i/>
          <w:iCs/>
          <w:sz w:val="20"/>
          <w:szCs w:val="20"/>
          <w:lang w:eastAsia="hu-HU"/>
        </w:rPr>
        <w:t xml:space="preserve">Elállási/Felmondási nyilatkozatminta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(csak a szerződéstől való elállási/felmondási szándék esetén töltse ki és juttassa vissza)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Címzett: [a Tanfolyamot tartó Tréner neve, e-mail címe]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Alulírott [teljes név] kijelentem, hogy gyakorlom elállási/felmondási jogomat az alábbi szolgáltatás nyújtására irányuló szerződés tekintetében: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Szerződéskötés időpontja: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>A fogyasztó neve: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A fogyasztó címe: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Tanfolyam pontos helye és időpontja, tanfolyam megnevezése: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A fogyasztó aláírása: [kizárólag papíron tett nyilatkozat esetén] </w:t>
      </w:r>
    </w:p>
    <w:p>
      <w:pPr>
        <w:pStyle w:val="Normal"/>
        <w:spacing w:before="288" w:after="288"/>
        <w:jc w:val="both"/>
        <w:rPr>
          <w:rFonts w:ascii="Avenir Next" w:hAnsi="Avenir Next" w:eastAsia="Times New Roman" w:cs="Times New Roman"/>
          <w:sz w:val="20"/>
          <w:szCs w:val="20"/>
          <w:lang w:eastAsia="hu-HU"/>
        </w:rPr>
      </w:pPr>
      <w:r>
        <w:rPr>
          <w:rFonts w:eastAsia="Times New Roman" w:cs="Times New Roman" w:ascii="Avenir Next" w:hAnsi="Avenir Next"/>
          <w:sz w:val="20"/>
          <w:szCs w:val="20"/>
          <w:lang w:eastAsia="hu-HU"/>
        </w:rPr>
        <w:t xml:space="preserve">Kelt [hely, idő] </w:t>
      </w:r>
    </w:p>
    <w:sectPr>
      <w:headerReference w:type="default" r:id="rId4"/>
      <w:footerReference w:type="default" r:id="rId5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Helvetica Neue">
    <w:charset w:val="01"/>
    <w:family w:val="roman"/>
    <w:pitch w:val="variable"/>
  </w:font>
  <w:font w:name="Avenir Next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lb"/>
      <w:rPr/>
    </w:pPr>
    <w:r>
      <w:rPr>
        <w:rStyle w:val="Pagenumber"/>
        <w:rFonts w:ascii="Avenir Next" w:hAnsi="Avenir Next"/>
        <w:sz w:val="20"/>
        <w:szCs w:val="20"/>
      </w:rPr>
      <w:fldChar w:fldCharType="begin"/>
    </w:r>
    <w:r>
      <w:rPr>
        <w:rStyle w:val="Pagenumber"/>
        <w:sz w:val="20"/>
        <w:szCs w:val="20"/>
        <w:rFonts w:ascii="Avenir Next" w:hAnsi="Avenir Next"/>
      </w:rPr>
      <w:instrText> PAGE </w:instrText>
    </w:r>
    <w:r>
      <w:rPr>
        <w:rStyle w:val="Pagenumber"/>
        <w:sz w:val="20"/>
        <w:szCs w:val="20"/>
        <w:rFonts w:ascii="Avenir Next" w:hAnsi="Avenir Next"/>
      </w:rPr>
      <w:fldChar w:fldCharType="separate"/>
    </w:r>
    <w:r>
      <w:rPr>
        <w:rStyle w:val="Pagenumber"/>
        <w:sz w:val="20"/>
        <w:szCs w:val="20"/>
        <w:rFonts w:ascii="Avenir Next" w:hAnsi="Avenir Next"/>
      </w:rPr>
      <w:t>8</w:t>
    </w:r>
    <w:r>
      <w:rPr>
        <w:rStyle w:val="Pagenumber"/>
        <w:sz w:val="20"/>
        <w:szCs w:val="20"/>
        <w:rFonts w:ascii="Avenir Next" w:hAnsi="Avenir Next"/>
      </w:rPr>
      <w:fldChar w:fldCharType="end"/>
    </w:r>
  </w:p>
  <w:p>
    <w:pPr>
      <w:pStyle w:val="Llb"/>
      <w:ind w:left="0" w:right="360" w:hanging="0"/>
      <w:jc w:val="center"/>
      <w:rPr/>
    </w:pPr>
    <w:hyperlink r:id="rId1">
      <w:r>
        <mc:AlternateContent>
          <mc:Choice Requires="wps">
            <w:drawing>
              <wp:anchor behindDoc="1" distT="0" distB="5715" distL="0" distR="0" simplePos="0" locked="0" layoutInCell="1" allowOverlap="1" relativeHeight="17">
                <wp:simplePos x="0" y="0"/>
                <wp:positionH relativeFrom="column">
                  <wp:posOffset>3810</wp:posOffset>
                </wp:positionH>
                <wp:positionV relativeFrom="paragraph">
                  <wp:posOffset>-205105</wp:posOffset>
                </wp:positionV>
                <wp:extent cx="5680075" cy="46355"/>
                <wp:effectExtent l="0" t="0" r="0" b="0"/>
                <wp:wrapNone/>
                <wp:docPr id="2" name="Téglalap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9360" cy="457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18448d"/>
                            </a:gs>
                            <a:gs pos="100000">
                              <a:srgbClr val="c31544"/>
                            </a:gs>
                          </a:gsLst>
                          <a:lin ang="0"/>
                        </a:gradFill>
                        <a:ln w="1260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Téglalap 9" fillcolor="#18448d" stroked="f" style="position:absolute;margin-left:0.3pt;margin-top:-16.15pt;width:447.15pt;height:3.55pt">
                <w10:wrap type="none"/>
                <v:fill o:detectmouseclick="t" color2="#c31544"/>
                <v:stroke color="#3465a4" weight="12600" joinstyle="miter" endcap="flat"/>
              </v:rect>
            </w:pict>
          </mc:Fallback>
        </mc:AlternateContent>
      </w:r>
      <w:r>
        <w:rPr>
          <w:rStyle w:val="Internethivatkozs"/>
          <w:rFonts w:ascii="Avenir Next" w:hAnsi="Avenir Next"/>
          <w:color w:val="000000"/>
          <w:sz w:val="20"/>
          <w:szCs w:val="20"/>
        </w:rPr>
        <w:t>www.intimtorna.hu</w:t>
      </w:r>
    </w:hyperlink>
    <w:r>
      <w:rPr>
        <w:rFonts w:ascii="Avenir Next" w:hAnsi="Avenir Next"/>
        <w:color w:val="000000"/>
        <w:sz w:val="20"/>
        <w:szCs w:val="20"/>
      </w:rPr>
      <w:t xml:space="preserve"> | </w:t>
    </w:r>
    <w:r>
      <w:rPr>
        <w:rFonts w:ascii="Avenir Next" w:hAnsi="Avenir Next"/>
        <w:color w:val="000000"/>
        <w:sz w:val="20"/>
        <w:szCs w:val="20"/>
      </w:rPr>
      <w:t>Dr. Skultéti Judit</w:t>
    </w:r>
    <w:r>
      <w:rPr>
        <w:rFonts w:ascii="Avenir Next" w:hAnsi="Avenir Next"/>
        <w:color w:val="000000"/>
        <w:sz w:val="20"/>
        <w:szCs w:val="20"/>
      </w:rPr>
      <w:t xml:space="preserve"> | Tréneri ÁSZF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lb"/>
      <w:rPr/>
    </w:pPr>
    <w:r>
      <w:rPr>
        <w:rStyle w:val="Pagenumber"/>
        <w:rFonts w:ascii="Avenir Next" w:hAnsi="Avenir Next"/>
        <w:sz w:val="20"/>
        <w:szCs w:val="20"/>
      </w:rPr>
      <w:fldChar w:fldCharType="begin"/>
    </w:r>
    <w:r>
      <w:rPr>
        <w:rStyle w:val="Pagenumber"/>
        <w:sz w:val="20"/>
        <w:szCs w:val="20"/>
        <w:rFonts w:ascii="Avenir Next" w:hAnsi="Avenir Next"/>
      </w:rPr>
      <w:instrText> PAGE </w:instrText>
    </w:r>
    <w:r>
      <w:rPr>
        <w:rStyle w:val="Pagenumber"/>
        <w:sz w:val="20"/>
        <w:szCs w:val="20"/>
        <w:rFonts w:ascii="Avenir Next" w:hAnsi="Avenir Next"/>
      </w:rPr>
      <w:fldChar w:fldCharType="separate"/>
    </w:r>
    <w:r>
      <w:rPr>
        <w:rStyle w:val="Pagenumber"/>
        <w:sz w:val="20"/>
        <w:szCs w:val="20"/>
        <w:rFonts w:ascii="Avenir Next" w:hAnsi="Avenir Next"/>
      </w:rPr>
      <w:t>8</w:t>
    </w:r>
    <w:r>
      <w:rPr>
        <w:rStyle w:val="Pagenumber"/>
        <w:sz w:val="20"/>
        <w:szCs w:val="20"/>
        <w:rFonts w:ascii="Avenir Next" w:hAnsi="Avenir Next"/>
      </w:rPr>
      <w:fldChar w:fldCharType="end"/>
    </w:r>
  </w:p>
  <w:p>
    <w:pPr>
      <w:pStyle w:val="Llb"/>
      <w:ind w:left="0" w:right="360" w:hanging="0"/>
      <w:jc w:val="center"/>
      <w:rPr/>
    </w:pPr>
    <w:hyperlink r:id="rId1">
      <w:r>
        <mc:AlternateContent>
          <mc:Choice Requires="wps">
            <w:drawing>
              <wp:anchor behindDoc="1" distT="0" distB="5715" distL="0" distR="0" simplePos="0" locked="0" layoutInCell="1" allowOverlap="1" relativeHeight="9">
                <wp:simplePos x="0" y="0"/>
                <wp:positionH relativeFrom="column">
                  <wp:posOffset>3810</wp:posOffset>
                </wp:positionH>
                <wp:positionV relativeFrom="paragraph">
                  <wp:posOffset>-205105</wp:posOffset>
                </wp:positionV>
                <wp:extent cx="5680075" cy="46355"/>
                <wp:effectExtent l="0" t="0" r="0" b="0"/>
                <wp:wrapNone/>
                <wp:docPr id="1" name="Téglalap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9360" cy="457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18448d"/>
                            </a:gs>
                            <a:gs pos="100000">
                              <a:srgbClr val="c31544"/>
                            </a:gs>
                          </a:gsLst>
                          <a:lin ang="0"/>
                        </a:gradFill>
                        <a:ln w="1260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Téglalap 9" fillcolor="#18448d" stroked="f" style="position:absolute;margin-left:0.3pt;margin-top:-16.15pt;width:447.15pt;height:3.55pt">
                <w10:wrap type="none"/>
                <v:fill o:detectmouseclick="t" color2="#c31544"/>
                <v:stroke color="#3465a4" weight="12600" joinstyle="miter" endcap="flat"/>
              </v:rect>
            </w:pict>
          </mc:Fallback>
        </mc:AlternateContent>
      </w:r>
      <w:r>
        <w:rPr>
          <w:rStyle w:val="Internethivatkozs"/>
          <w:rFonts w:ascii="Avenir Next" w:hAnsi="Avenir Next"/>
          <w:color w:val="000000"/>
          <w:sz w:val="20"/>
          <w:szCs w:val="20"/>
        </w:rPr>
        <w:t>www.intimtorna.hu</w:t>
      </w:r>
    </w:hyperlink>
    <w:r>
      <w:rPr>
        <w:rFonts w:ascii="Avenir Next" w:hAnsi="Avenir Next"/>
        <w:color w:val="000000"/>
        <w:sz w:val="20"/>
        <w:szCs w:val="20"/>
      </w:rPr>
      <w:t xml:space="preserve"> | </w:t>
    </w:r>
    <w:r>
      <w:rPr>
        <w:rFonts w:ascii="Avenir Next" w:hAnsi="Avenir Next"/>
        <w:color w:val="000000"/>
        <w:sz w:val="20"/>
        <w:szCs w:val="20"/>
      </w:rPr>
      <w:t>Dr. Skultéti Judit</w:t>
    </w:r>
    <w:r>
      <w:rPr>
        <w:rFonts w:ascii="Avenir Next" w:hAnsi="Avenir Next"/>
        <w:color w:val="000000"/>
        <w:sz w:val="20"/>
        <w:szCs w:val="20"/>
      </w:rPr>
      <w:t xml:space="preserve"> | Tréneri ÁSZF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upperRoman"/>
      <w:lvlText w:val="%1"/>
      <w:lvlJc w:val="lef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DejaVu Sans"/>
        <w:sz w:val="24"/>
        <w:szCs w:val="24"/>
        <w:lang w:val="hu-H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before="0" w:after="0"/>
      <w:jc w:val="left"/>
    </w:pPr>
    <w:rPr>
      <w:rFonts w:ascii="Calibri" w:hAnsi="Calibri" w:eastAsia="Calibri" w:cs="DejaVu Sans"/>
      <w:color w:val="auto"/>
      <w:kern w:val="0"/>
      <w:sz w:val="24"/>
      <w:szCs w:val="24"/>
      <w:lang w:val="hu-HU" w:eastAsia="en-US" w:bidi="ar-SA"/>
    </w:rPr>
  </w:style>
  <w:style w:type="character" w:styleId="DefaultParagraphFont">
    <w:name w:val="Default Paragraph Font"/>
    <w:qFormat/>
    <w:rPr/>
  </w:style>
  <w:style w:type="character" w:styleId="LfejChar">
    <w:name w:val="Élőfej Char"/>
    <w:basedOn w:val="DefaultParagraphFont"/>
    <w:qFormat/>
    <w:rPr/>
  </w:style>
  <w:style w:type="character" w:styleId="LlbChar">
    <w:name w:val="Élőláb Char"/>
    <w:basedOn w:val="DefaultParagraphFont"/>
    <w:qFormat/>
    <w:rPr/>
  </w:style>
  <w:style w:type="character" w:styleId="Internethivatkozs">
    <w:name w:val="Internet-hivatkozás"/>
    <w:basedOn w:val="DefaultParagraphFont"/>
    <w:rPr>
      <w:color w:val="585955"/>
      <w:u w:val="single"/>
    </w:rPr>
  </w:style>
  <w:style w:type="character" w:styleId="UnresolvedMention">
    <w:name w:val="Unresolved Mention"/>
    <w:basedOn w:val="DefaultParagraphFont"/>
    <w:qFormat/>
    <w:rPr>
      <w:color w:val="605E5C"/>
      <w:highlight w:val="lightGray"/>
    </w:rPr>
  </w:style>
  <w:style w:type="character" w:styleId="Pagenumber">
    <w:name w:val="page number"/>
    <w:basedOn w:val="DefaultParagraphFont"/>
    <w:qFormat/>
    <w:rPr/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JegyzetszvegChar">
    <w:name w:val="Jegyzetszöveg Char"/>
    <w:basedOn w:val="DefaultParagraphFont"/>
    <w:qFormat/>
    <w:rPr>
      <w:sz w:val="20"/>
      <w:szCs w:val="20"/>
    </w:rPr>
  </w:style>
  <w:style w:type="character" w:styleId="MegjegyzstrgyaChar">
    <w:name w:val="Megjegyzés tárgya Char"/>
    <w:basedOn w:val="JegyzetszvegChar"/>
    <w:qFormat/>
    <w:rPr>
      <w:b/>
      <w:bCs/>
      <w:sz w:val="20"/>
      <w:szCs w:val="20"/>
    </w:rPr>
  </w:style>
  <w:style w:type="character" w:styleId="Hyperlink0">
    <w:name w:val="Hyperlink.0"/>
    <w:basedOn w:val="Internethivatkozs"/>
    <w:qFormat/>
    <w:rPr>
      <w:color w:val="585955"/>
      <w:u w:val="single"/>
    </w:rPr>
  </w:style>
  <w:style w:type="paragraph" w:styleId="Cmsor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>
      <w:rFonts w:cs="Lohit Devanagari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Lohit Devanagari"/>
    </w:rPr>
  </w:style>
  <w:style w:type="paragraph" w:styleId="Lfejsllb">
    <w:name w:val="Élőfej és élőláb"/>
    <w:basedOn w:val="Normal"/>
    <w:qFormat/>
    <w:pPr/>
    <w:rPr/>
  </w:style>
  <w:style w:type="paragraph" w:styleId="Lfej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lb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alWeb">
    <w:name w:val="Normal (Web)"/>
    <w:basedOn w:val="Normal"/>
    <w:qFormat/>
    <w:pPr>
      <w:spacing w:before="280" w:after="280"/>
    </w:pPr>
    <w:rPr>
      <w:rFonts w:ascii="Times New Roman" w:hAnsi="Times New Roman" w:eastAsia="Times New Roman" w:cs="Times New Roman"/>
      <w:lang w:eastAsia="hu-HU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/>
  </w:style>
  <w:style w:type="paragraph" w:styleId="Msonormal">
    <w:name w:val="msonormal"/>
    <w:basedOn w:val="Normal"/>
    <w:qFormat/>
    <w:pPr>
      <w:spacing w:before="280" w:after="280"/>
    </w:pPr>
    <w:rPr>
      <w:rFonts w:ascii="Times New Roman" w:hAnsi="Times New Roman" w:eastAsia="Times New Roman" w:cs="Times New Roman"/>
      <w:lang w:eastAsia="hu-HU"/>
    </w:rPr>
  </w:style>
  <w:style w:type="paragraph" w:styleId="Revision">
    <w:name w:val="Revision"/>
    <w:qFormat/>
    <w:pPr>
      <w:widowControl/>
      <w:kinsoku w:val="true"/>
      <w:overflowPunct w:val="true"/>
      <w:autoSpaceDE w:val="true"/>
      <w:bidi w:val="0"/>
      <w:spacing w:before="0" w:after="0"/>
      <w:jc w:val="left"/>
    </w:pPr>
    <w:rPr>
      <w:rFonts w:ascii="Calibri" w:hAnsi="Calibri" w:eastAsia="Calibri" w:cs="DejaVu Sans"/>
      <w:color w:val="auto"/>
      <w:kern w:val="0"/>
      <w:sz w:val="24"/>
      <w:szCs w:val="24"/>
      <w:lang w:val="hu-HU" w:eastAsia="en-US" w:bidi="ar-SA"/>
    </w:rPr>
  </w:style>
  <w:style w:type="paragraph" w:styleId="Annotationtext">
    <w:name w:val="annotation text"/>
    <w:basedOn w:val="Normal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Default">
    <w:name w:val="Default"/>
    <w:qFormat/>
    <w:pPr>
      <w:widowControl/>
      <w:kinsoku w:val="true"/>
      <w:overflowPunct w:val="true"/>
      <w:autoSpaceDE w:val="true"/>
      <w:bidi w:val="0"/>
      <w:spacing w:before="0" w:after="0"/>
      <w:jc w:val="left"/>
    </w:pPr>
    <w:rPr>
      <w:rFonts w:ascii="Calibri" w:hAnsi="Calibri" w:cs="Calibri" w:eastAsia="Calibri"/>
      <w:color w:val="000000"/>
      <w:kern w:val="0"/>
      <w:sz w:val="24"/>
      <w:szCs w:val="24"/>
      <w:lang w:val="hu-HU" w:eastAsia="en-US" w:bidi="ar-SA"/>
    </w:rPr>
  </w:style>
  <w:style w:type="paragraph" w:styleId="NoSpacing">
    <w:name w:val="No Spacing"/>
    <w:qFormat/>
    <w:pPr>
      <w:widowControl/>
      <w:kinsoku w:val="true"/>
      <w:overflowPunct w:val="true"/>
      <w:autoSpaceDE w:val="true"/>
      <w:bidi w:val="0"/>
      <w:spacing w:before="0" w:after="0"/>
      <w:jc w:val="left"/>
    </w:pPr>
    <w:rPr>
      <w:rFonts w:ascii="Calibri" w:hAnsi="Calibri" w:eastAsia="Calibri" w:cs="DejaVu Sans"/>
      <w:color w:val="auto"/>
      <w:kern w:val="0"/>
      <w:sz w:val="22"/>
      <w:szCs w:val="22"/>
      <w:lang w:val="hu-HU" w:eastAsia="en-US" w:bidi="ar-SA"/>
    </w:rPr>
  </w:style>
  <w:style w:type="paragraph" w:styleId="Alaprtelmezett">
    <w:name w:val="Alapértelmezett"/>
    <w:qFormat/>
    <w:pPr>
      <w:widowControl/>
      <w:pBdr/>
      <w:kinsoku w:val="true"/>
      <w:overflowPunct w:val="true"/>
      <w:autoSpaceDE w:val="true"/>
      <w:bidi w:val="0"/>
      <w:spacing w:lineRule="auto" w:line="288" w:before="160" w:after="0"/>
      <w:jc w:val="left"/>
    </w:pPr>
    <w:rPr>
      <w:rFonts w:ascii="Helvetica Neue" w:hAnsi="Helvetica Neue" w:eastAsia="Arial Unicode MS" w:cs="Arial Unicode MS"/>
      <w:color w:val="000000"/>
      <w:kern w:val="0"/>
      <w:sz w:val="24"/>
      <w:szCs w:val="24"/>
      <w:lang w:eastAsia="hu-HU" w:val="hu-HU" w:bidi="ar-SA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kormanyhivatalok.hu/" TargetMode="External"/><Relationship Id="rId3" Type="http://schemas.openxmlformats.org/officeDocument/2006/relationships/hyperlink" Target="http://www.bekeltetes.hu/index.php?id=testuletek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intimtorna.hu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hyperlink" Target="http://www.intimtorna.hu/" TargetMode="Externa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Application>LibreOffice/6.4.7.2$Linux_X86_64 LibreOffice_project/40$Build-2</Application>
  <Pages>8</Pages>
  <Words>2937</Words>
  <Characters>20244</Characters>
  <CharactersWithSpaces>23164</CharactersWithSpaces>
  <Paragraphs>107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2024-10-25T17:42:00Z</dcterms:created>
  <dc:creator>Microsoft Office User</dc:creator>
  <dc:description/>
  <dc:language>hu-HU</dc:language>
  <cp:lastModifiedBy/>
  <cp:lastPrinted>2021-05-20T08:51:00Z</cp:lastPrinted>
  <dcterms:modified xsi:type="dcterms:W3CDTF">2024-12-03T17:56:19Z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